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AB6B" w14:textId="2BB3170B" w:rsidR="004F1F5F" w:rsidRDefault="004F1F5F" w:rsidP="004F1F5F">
      <w:pPr>
        <w:spacing w:after="0" w:line="240" w:lineRule="auto"/>
        <w:rPr>
          <w:rFonts w:ascii="Helvetica Neue" w:eastAsia="Times New Roman" w:hAnsi="Helvetica Neue" w:cs="Times New Roman"/>
          <w:color w:val="0A0A0A"/>
          <w:kern w:val="0"/>
          <w:sz w:val="30"/>
          <w:szCs w:val="30"/>
          <w14:ligatures w14:val="none"/>
        </w:rPr>
      </w:pPr>
      <w:r>
        <w:rPr>
          <w:rFonts w:ascii="Helvetica Neue" w:eastAsia="Times New Roman" w:hAnsi="Helvetica Neue" w:cs="Times New Roman"/>
          <w:color w:val="0A0A0A"/>
          <w:kern w:val="0"/>
          <w:sz w:val="30"/>
          <w:szCs w:val="30"/>
          <w14:ligatures w14:val="none"/>
        </w:rPr>
        <w:t>SECTION 137:-</w:t>
      </w:r>
    </w:p>
    <w:p w14:paraId="6C9957B4" w14:textId="77777777" w:rsidR="004F1F5F" w:rsidRDefault="004F1F5F" w:rsidP="004F1F5F">
      <w:pPr>
        <w:spacing w:after="0" w:line="240" w:lineRule="auto"/>
        <w:rPr>
          <w:rFonts w:ascii="Helvetica Neue" w:eastAsia="Times New Roman" w:hAnsi="Helvetica Neue" w:cs="Times New Roman"/>
          <w:color w:val="0A0A0A"/>
          <w:kern w:val="0"/>
          <w:sz w:val="30"/>
          <w:szCs w:val="30"/>
          <w14:ligatures w14:val="none"/>
        </w:rPr>
      </w:pPr>
    </w:p>
    <w:p w14:paraId="4A33DD7C" w14:textId="77777777" w:rsidR="004F1F5F" w:rsidRDefault="004F1F5F" w:rsidP="004F1F5F">
      <w:pPr>
        <w:spacing w:after="0" w:line="240" w:lineRule="auto"/>
        <w:rPr>
          <w:rFonts w:ascii="Helvetica Neue" w:eastAsia="Times New Roman" w:hAnsi="Helvetica Neue" w:cs="Times New Roman"/>
          <w:color w:val="0A0A0A"/>
          <w:kern w:val="0"/>
          <w:sz w:val="30"/>
          <w:szCs w:val="30"/>
          <w14:ligatures w14:val="none"/>
        </w:rPr>
      </w:pPr>
    </w:p>
    <w:p w14:paraId="628C0742" w14:textId="51C6944B" w:rsidR="004F1F5F" w:rsidRPr="004F1F5F" w:rsidRDefault="004F1F5F" w:rsidP="004F1F5F">
      <w:pPr>
        <w:spacing w:after="0" w:line="240" w:lineRule="auto"/>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color w:val="0A0A0A"/>
          <w:kern w:val="0"/>
          <w:sz w:val="30"/>
          <w:szCs w:val="30"/>
          <w14:ligatures w14:val="none"/>
        </w:rPr>
        <w:t>Section 137 is a provision in the </w:t>
      </w:r>
      <w:hyperlink r:id="rId5" w:history="1">
        <w:r w:rsidRPr="004F1F5F">
          <w:rPr>
            <w:rFonts w:ascii="Helvetica Neue" w:eastAsia="Times New Roman" w:hAnsi="Helvetica Neue" w:cs="Times New Roman"/>
            <w:color w:val="681DA8"/>
            <w:kern w:val="0"/>
            <w:sz w:val="30"/>
            <w:szCs w:val="30"/>
            <w:u w:val="single"/>
            <w14:ligatures w14:val="none"/>
          </w:rPr>
          <w:t>UK's Local Government Act 1972</w:t>
        </w:r>
      </w:hyperlink>
      <w:r w:rsidRPr="004F1F5F">
        <w:rPr>
          <w:rFonts w:ascii="Helvetica Neue" w:eastAsia="Times New Roman" w:hAnsi="Helvetica Neue" w:cs="Times New Roman"/>
          <w:color w:val="0A0A0A"/>
          <w:kern w:val="0"/>
          <w:sz w:val="30"/>
          <w:szCs w:val="30"/>
          <w14:ligatures w14:val="none"/>
        </w:rPr>
        <w:t> that allows parish and town councils to spend a limited amount of money on projects that benefit the community but for which they have no other specific statutory power. This "discretionary" funding is a financial safety net to address unforeseen or unique community needs. The maximum amount a council can spend is capped and set annually per elector, with the 2025/26 limit for England and Wales being £11.10 per elector. </w:t>
      </w:r>
    </w:p>
    <w:p w14:paraId="30FF48F7" w14:textId="77777777" w:rsidR="004F1F5F" w:rsidRPr="004F1F5F" w:rsidRDefault="004F1F5F" w:rsidP="004F1F5F">
      <w:pPr>
        <w:spacing w:after="0" w:line="240" w:lineRule="auto"/>
        <w:rPr>
          <w:rFonts w:ascii="Times New Roman" w:hAnsi="Times New Roman" w:cs="Times New Roman"/>
          <w:b/>
          <w:bCs/>
          <w:kern w:val="0"/>
          <w14:ligatures w14:val="none"/>
        </w:rPr>
      </w:pPr>
      <w:r w:rsidRPr="004F1F5F">
        <w:rPr>
          <w:rFonts w:ascii="Helvetica Neue" w:eastAsia="Times New Roman" w:hAnsi="Helvetica Neue" w:cs="Times New Roman"/>
          <w:b/>
          <w:bCs/>
          <w:color w:val="0A0A0A"/>
          <w:kern w:val="0"/>
          <w:sz w:val="30"/>
          <w:szCs w:val="30"/>
          <w14:ligatures w14:val="none"/>
        </w:rPr>
        <w:t>How it works </w:t>
      </w:r>
    </w:p>
    <w:p w14:paraId="4C9F0B57" w14:textId="77777777" w:rsidR="004F1F5F" w:rsidRPr="004F1F5F" w:rsidRDefault="004F1F5F" w:rsidP="004F1F5F">
      <w:pPr>
        <w:numPr>
          <w:ilvl w:val="0"/>
          <w:numId w:val="1"/>
        </w:numPr>
        <w:spacing w:after="120" w:line="240" w:lineRule="auto"/>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b/>
          <w:bCs/>
          <w:color w:val="0A0A0A"/>
          <w:kern w:val="0"/>
          <w:sz w:val="30"/>
          <w:szCs w:val="30"/>
          <w14:ligatures w14:val="none"/>
        </w:rPr>
        <w:t>Purpose:</w:t>
      </w:r>
      <w:r w:rsidRPr="004F1F5F">
        <w:rPr>
          <w:rFonts w:ascii="Helvetica Neue" w:eastAsia="Times New Roman" w:hAnsi="Helvetica Neue" w:cs="Times New Roman"/>
          <w:color w:val="0A0A0A"/>
          <w:kern w:val="0"/>
          <w:sz w:val="30"/>
          <w:szCs w:val="30"/>
          <w14:ligatures w14:val="none"/>
        </w:rPr>
        <w:t> </w:t>
      </w:r>
    </w:p>
    <w:p w14:paraId="0C82D9C2" w14:textId="77777777" w:rsidR="004F1F5F" w:rsidRPr="004F1F5F" w:rsidRDefault="004F1F5F" w:rsidP="004F1F5F">
      <w:pPr>
        <w:spacing w:after="120" w:line="240" w:lineRule="auto"/>
        <w:ind w:left="720"/>
        <w:rPr>
          <w:rFonts w:ascii="Times New Roman" w:hAnsi="Times New Roman" w:cs="Times New Roman"/>
          <w:kern w:val="0"/>
          <w14:ligatures w14:val="none"/>
        </w:rPr>
      </w:pPr>
      <w:r w:rsidRPr="004F1F5F">
        <w:rPr>
          <w:rFonts w:ascii="Helvetica Neue" w:eastAsia="Times New Roman" w:hAnsi="Helvetica Neue" w:cs="Times New Roman"/>
          <w:color w:val="0A0A0A"/>
          <w:kern w:val="0"/>
          <w:sz w:val="30"/>
          <w:szCs w:val="30"/>
          <w14:ligatures w14:val="none"/>
        </w:rPr>
        <w:t>To allow councils to fund projects and services that improve the local area or its inhabitants, even if there isn't a specific law authorizing that particular expenditure. </w:t>
      </w:r>
    </w:p>
    <w:p w14:paraId="12E89017" w14:textId="77777777" w:rsidR="004F1F5F" w:rsidRPr="004F1F5F" w:rsidRDefault="004F1F5F" w:rsidP="004F1F5F">
      <w:pPr>
        <w:numPr>
          <w:ilvl w:val="0"/>
          <w:numId w:val="1"/>
        </w:numPr>
        <w:spacing w:after="120" w:line="240" w:lineRule="auto"/>
        <w:rPr>
          <w:rFonts w:ascii="Times New Roman" w:hAnsi="Times New Roman" w:cs="Times New Roman"/>
          <w:kern w:val="0"/>
          <w14:ligatures w14:val="none"/>
        </w:rPr>
      </w:pPr>
      <w:r w:rsidRPr="004F1F5F">
        <w:rPr>
          <w:rFonts w:ascii="Helvetica Neue" w:eastAsia="Times New Roman" w:hAnsi="Helvetica Neue" w:cs="Times New Roman"/>
          <w:b/>
          <w:bCs/>
          <w:color w:val="0A0A0A"/>
          <w:kern w:val="0"/>
          <w:sz w:val="30"/>
          <w:szCs w:val="30"/>
          <w14:ligatures w14:val="none"/>
        </w:rPr>
        <w:t>Examples:</w:t>
      </w:r>
      <w:r w:rsidRPr="004F1F5F">
        <w:rPr>
          <w:rFonts w:ascii="Helvetica Neue" w:eastAsia="Times New Roman" w:hAnsi="Helvetica Neue" w:cs="Times New Roman"/>
          <w:color w:val="0A0A0A"/>
          <w:kern w:val="0"/>
          <w:sz w:val="30"/>
          <w:szCs w:val="30"/>
          <w14:ligatures w14:val="none"/>
        </w:rPr>
        <w:t> </w:t>
      </w:r>
    </w:p>
    <w:p w14:paraId="7EEC8710" w14:textId="77777777" w:rsidR="004F1F5F" w:rsidRPr="004F1F5F" w:rsidRDefault="004F1F5F" w:rsidP="004F1F5F">
      <w:pPr>
        <w:spacing w:after="120" w:line="240" w:lineRule="auto"/>
        <w:ind w:left="720"/>
        <w:rPr>
          <w:rFonts w:ascii="Times New Roman" w:hAnsi="Times New Roman" w:cs="Times New Roman"/>
          <w:kern w:val="0"/>
          <w14:ligatures w14:val="none"/>
        </w:rPr>
      </w:pPr>
      <w:r w:rsidRPr="004F1F5F">
        <w:rPr>
          <w:rFonts w:ascii="Helvetica Neue" w:eastAsia="Times New Roman" w:hAnsi="Helvetica Neue" w:cs="Times New Roman"/>
          <w:color w:val="0A0A0A"/>
          <w:kern w:val="0"/>
          <w:sz w:val="30"/>
          <w:szCs w:val="30"/>
          <w14:ligatures w14:val="none"/>
        </w:rPr>
        <w:t>Councils have used Section 137 to provide grants to local sports clubs, community groups, or charities, such as funding a new seating area for a community football club. </w:t>
      </w:r>
    </w:p>
    <w:p w14:paraId="5306604E" w14:textId="77777777" w:rsidR="004F1F5F" w:rsidRPr="004F1F5F" w:rsidRDefault="004F1F5F" w:rsidP="004F1F5F">
      <w:pPr>
        <w:numPr>
          <w:ilvl w:val="0"/>
          <w:numId w:val="1"/>
        </w:numPr>
        <w:spacing w:after="120" w:line="240" w:lineRule="auto"/>
        <w:rPr>
          <w:rFonts w:ascii="Times New Roman" w:hAnsi="Times New Roman" w:cs="Times New Roman"/>
          <w:kern w:val="0"/>
          <w14:ligatures w14:val="none"/>
        </w:rPr>
      </w:pPr>
      <w:r w:rsidRPr="004F1F5F">
        <w:rPr>
          <w:rFonts w:ascii="Helvetica Neue" w:eastAsia="Times New Roman" w:hAnsi="Helvetica Neue" w:cs="Times New Roman"/>
          <w:b/>
          <w:bCs/>
          <w:color w:val="0A0A0A"/>
          <w:kern w:val="0"/>
          <w:sz w:val="30"/>
          <w:szCs w:val="30"/>
          <w14:ligatures w14:val="none"/>
        </w:rPr>
        <w:t>Limitations:</w:t>
      </w:r>
    </w:p>
    <w:p w14:paraId="36A974F7" w14:textId="77777777" w:rsidR="004F1F5F" w:rsidRPr="004F1F5F" w:rsidRDefault="004F1F5F" w:rsidP="004F1F5F">
      <w:pPr>
        <w:numPr>
          <w:ilvl w:val="1"/>
          <w:numId w:val="2"/>
        </w:numPr>
        <w:spacing w:after="120" w:line="240" w:lineRule="auto"/>
        <w:rPr>
          <w:rFonts w:ascii="Times New Roman" w:hAnsi="Times New Roman" w:cs="Times New Roman"/>
          <w:kern w:val="0"/>
          <w14:ligatures w14:val="none"/>
        </w:rPr>
      </w:pPr>
      <w:r w:rsidRPr="004F1F5F">
        <w:rPr>
          <w:rFonts w:ascii="Helvetica Neue" w:eastAsia="Times New Roman" w:hAnsi="Helvetica Neue" w:cs="Times New Roman"/>
          <w:color w:val="0A0A0A"/>
          <w:kern w:val="0"/>
          <w:sz w:val="30"/>
          <w:szCs w:val="30"/>
          <w14:ligatures w14:val="none"/>
        </w:rPr>
        <w:t>Expenditure must be for the direct benefit of the community. </w:t>
      </w:r>
    </w:p>
    <w:p w14:paraId="1DF8FF66" w14:textId="77777777" w:rsidR="004F1F5F" w:rsidRPr="004F1F5F" w:rsidRDefault="004F1F5F" w:rsidP="004F1F5F">
      <w:pPr>
        <w:numPr>
          <w:ilvl w:val="1"/>
          <w:numId w:val="3"/>
        </w:numPr>
        <w:spacing w:after="120" w:line="240" w:lineRule="auto"/>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color w:val="0A0A0A"/>
          <w:kern w:val="0"/>
          <w:sz w:val="30"/>
          <w:szCs w:val="30"/>
          <w14:ligatures w14:val="none"/>
        </w:rPr>
        <w:t>The benefit must be commensurate with the cost. </w:t>
      </w:r>
    </w:p>
    <w:p w14:paraId="746AB375" w14:textId="77777777" w:rsidR="004F1F5F" w:rsidRPr="004F1F5F" w:rsidRDefault="004F1F5F" w:rsidP="004F1F5F">
      <w:pPr>
        <w:numPr>
          <w:ilvl w:val="1"/>
          <w:numId w:val="4"/>
        </w:numPr>
        <w:spacing w:after="0" w:line="240" w:lineRule="auto"/>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color w:val="0A0A0A"/>
          <w:kern w:val="0"/>
          <w:sz w:val="30"/>
          <w:szCs w:val="30"/>
          <w14:ligatures w14:val="none"/>
        </w:rPr>
        <w:t>The amount that can be spent is limited by a sum calculated per elector, which is set each year. </w:t>
      </w:r>
    </w:p>
    <w:p w14:paraId="3C7393AE" w14:textId="77777777" w:rsidR="004F1F5F" w:rsidRPr="004F1F5F" w:rsidRDefault="004F1F5F" w:rsidP="004F1F5F">
      <w:pPr>
        <w:numPr>
          <w:ilvl w:val="0"/>
          <w:numId w:val="1"/>
        </w:numPr>
        <w:spacing w:after="0" w:line="240" w:lineRule="auto"/>
        <w:rPr>
          <w:rFonts w:ascii="Times New Roman" w:hAnsi="Times New Roman" w:cs="Times New Roman"/>
          <w:kern w:val="0"/>
          <w14:ligatures w14:val="none"/>
        </w:rPr>
      </w:pPr>
      <w:r w:rsidRPr="004F1F5F">
        <w:rPr>
          <w:rFonts w:ascii="Helvetica Neue" w:eastAsia="Times New Roman" w:hAnsi="Helvetica Neue" w:cs="Times New Roman"/>
          <w:b/>
          <w:bCs/>
          <w:color w:val="0A0A0A"/>
          <w:kern w:val="0"/>
          <w:sz w:val="30"/>
          <w:szCs w:val="30"/>
          <w14:ligatures w14:val="none"/>
        </w:rPr>
        <w:t>Application:</w:t>
      </w:r>
      <w:r w:rsidRPr="004F1F5F">
        <w:rPr>
          <w:rFonts w:ascii="Helvetica Neue" w:eastAsia="Times New Roman" w:hAnsi="Helvetica Neue" w:cs="Times New Roman"/>
          <w:color w:val="0A0A0A"/>
          <w:kern w:val="0"/>
          <w:sz w:val="30"/>
          <w:szCs w:val="30"/>
          <w14:ligatures w14:val="none"/>
        </w:rPr>
        <w:t> </w:t>
      </w:r>
    </w:p>
    <w:p w14:paraId="14FB3881" w14:textId="77777777" w:rsidR="00CE35AF" w:rsidRDefault="004F1F5F" w:rsidP="004F1F5F">
      <w:pPr>
        <w:spacing w:after="0" w:line="240" w:lineRule="auto"/>
        <w:ind w:left="720"/>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color w:val="0A0A0A"/>
          <w:kern w:val="0"/>
          <w:sz w:val="30"/>
          <w:szCs w:val="30"/>
          <w14:ligatures w14:val="none"/>
        </w:rPr>
        <w:t>To use this power, a council must be satisfied that the expenditure is in the interests of its area and that there is no other specific power that applies.</w:t>
      </w:r>
    </w:p>
    <w:p w14:paraId="2295E8E5" w14:textId="77777777" w:rsidR="00CE35AF" w:rsidRDefault="00CE35AF" w:rsidP="004F1F5F">
      <w:pPr>
        <w:spacing w:after="0" w:line="240" w:lineRule="auto"/>
        <w:ind w:left="720"/>
        <w:rPr>
          <w:rFonts w:ascii="Helvetica Neue" w:eastAsia="Times New Roman" w:hAnsi="Helvetica Neue" w:cs="Times New Roman"/>
          <w:color w:val="0A0A0A"/>
          <w:kern w:val="0"/>
          <w:sz w:val="30"/>
          <w:szCs w:val="30"/>
          <w14:ligatures w14:val="none"/>
        </w:rPr>
      </w:pPr>
    </w:p>
    <w:p w14:paraId="623B48E0" w14:textId="77777777" w:rsidR="00CE35AF" w:rsidRDefault="00CE35AF" w:rsidP="004F1F5F">
      <w:pPr>
        <w:spacing w:after="0" w:line="240" w:lineRule="auto"/>
        <w:ind w:left="720"/>
        <w:rPr>
          <w:rFonts w:ascii="Helvetica Neue" w:eastAsia="Times New Roman" w:hAnsi="Helvetica Neue" w:cs="Times New Roman"/>
          <w:color w:val="0A0A0A"/>
          <w:kern w:val="0"/>
          <w:sz w:val="30"/>
          <w:szCs w:val="30"/>
          <w14:ligatures w14:val="none"/>
        </w:rPr>
      </w:pPr>
    </w:p>
    <w:p w14:paraId="294EDCA3" w14:textId="77777777" w:rsidR="00CE35AF" w:rsidRPr="00CE35AF" w:rsidRDefault="00CE35AF" w:rsidP="00CE35AF">
      <w:pPr>
        <w:spacing w:after="600" w:line="240" w:lineRule="auto"/>
        <w:outlineLvl w:val="0"/>
        <w:rPr>
          <w:rFonts w:ascii="Arial" w:eastAsia="Times New Roman" w:hAnsi="Arial" w:cs="Arial"/>
          <w:b/>
          <w:bCs/>
          <w:caps/>
          <w:color w:val="2D2D2E"/>
          <w:kern w:val="36"/>
          <w:sz w:val="48"/>
          <w:szCs w:val="48"/>
          <w14:ligatures w14:val="none"/>
        </w:rPr>
      </w:pPr>
      <w:r w:rsidRPr="00CE35AF">
        <w:rPr>
          <w:rFonts w:ascii="Arial" w:eastAsia="Times New Roman" w:hAnsi="Arial" w:cs="Arial"/>
          <w:b/>
          <w:bCs/>
          <w:caps/>
          <w:color w:val="2D2D2E"/>
          <w:kern w:val="36"/>
          <w:sz w:val="48"/>
          <w:szCs w:val="48"/>
          <w14:ligatures w14:val="none"/>
        </w:rPr>
        <w:lastRenderedPageBreak/>
        <w:t>SECTION 137 EXPENDITURE LIMIT FOR PARISH AND TOWN COUNCILS ANNOUNCED FOR 2025/26</w:t>
      </w:r>
    </w:p>
    <w:p w14:paraId="5173195A" w14:textId="77777777" w:rsidR="00CE35AF" w:rsidRPr="00CE35AF" w:rsidRDefault="00CE35AF" w:rsidP="00CE35AF">
      <w:pPr>
        <w:spacing w:after="300" w:line="240" w:lineRule="auto"/>
        <w:rPr>
          <w:rFonts w:ascii="Arial" w:hAnsi="Arial" w:cs="Arial"/>
          <w:color w:val="494F55"/>
          <w:kern w:val="0"/>
          <w14:ligatures w14:val="none"/>
        </w:rPr>
      </w:pPr>
      <w:r w:rsidRPr="00CE35AF">
        <w:rPr>
          <w:rFonts w:ascii="Arial" w:hAnsi="Arial" w:cs="Arial"/>
          <w:color w:val="494F55"/>
          <w:kern w:val="0"/>
          <w14:ligatures w14:val="none"/>
        </w:rPr>
        <w:t>The Ministry of Housing, Communities and Local Government has informed us of an increase in the Section 137 expenditure limit for parish and town councils in England for the 2025/26 financial year. The new limit is £11.10 per elector, up from £10.81 in 2024/25.</w:t>
      </w:r>
    </w:p>
    <w:p w14:paraId="47A07E1E" w14:textId="77777777" w:rsidR="00CE35AF" w:rsidRPr="00CE35AF" w:rsidRDefault="00CE35AF" w:rsidP="00CE35AF">
      <w:pPr>
        <w:spacing w:after="300" w:line="240" w:lineRule="auto"/>
        <w:rPr>
          <w:rFonts w:ascii="Arial" w:hAnsi="Arial" w:cs="Arial"/>
          <w:color w:val="494F55"/>
          <w:kern w:val="0"/>
          <w14:ligatures w14:val="none"/>
        </w:rPr>
      </w:pPr>
      <w:r w:rsidRPr="00CE35AF">
        <w:rPr>
          <w:rFonts w:ascii="Arial" w:hAnsi="Arial" w:cs="Arial"/>
          <w:color w:val="494F55"/>
          <w:kern w:val="0"/>
          <w14:ligatures w14:val="none"/>
        </w:rPr>
        <w:t>The increase reflects the percentage rise in the retail price index between September 2023 and September 2024, in accordance with Schedule 12B of the Local Government Act 1972. Section 137 of the Act allows parish and town councils to incur expenditures for purposes that benefit their communities when no specific statutory power is available.</w:t>
      </w:r>
    </w:p>
    <w:p w14:paraId="7313185E" w14:textId="77777777" w:rsidR="00CE35AF" w:rsidRPr="00CE35AF" w:rsidRDefault="00CE35AF" w:rsidP="00CE35AF">
      <w:pPr>
        <w:spacing w:after="300" w:line="240" w:lineRule="auto"/>
        <w:rPr>
          <w:rFonts w:ascii="Arial" w:hAnsi="Arial" w:cs="Arial"/>
          <w:color w:val="494F55"/>
          <w:kern w:val="0"/>
          <w14:ligatures w14:val="none"/>
        </w:rPr>
      </w:pPr>
      <w:r w:rsidRPr="00CE35AF">
        <w:rPr>
          <w:rFonts w:ascii="Arial" w:hAnsi="Arial" w:cs="Arial"/>
          <w:color w:val="494F55"/>
          <w:kern w:val="0"/>
          <w14:ligatures w14:val="none"/>
        </w:rPr>
        <w:t>Adjusting the expenditure limit will enable parish and town councils to allocate funds to projects that support local communities, ranging from small infrastructure improvements to community welfare initiatives.</w:t>
      </w:r>
    </w:p>
    <w:p w14:paraId="38F53D92" w14:textId="6C144F83" w:rsidR="004F1F5F" w:rsidRPr="004F1F5F" w:rsidRDefault="004F1F5F" w:rsidP="004F1F5F">
      <w:pPr>
        <w:spacing w:after="0" w:line="240" w:lineRule="auto"/>
        <w:ind w:left="720"/>
        <w:rPr>
          <w:rFonts w:ascii="Helvetica Neue" w:eastAsia="Times New Roman" w:hAnsi="Helvetica Neue" w:cs="Times New Roman"/>
          <w:color w:val="0A0A0A"/>
          <w:kern w:val="0"/>
          <w:sz w:val="30"/>
          <w:szCs w:val="30"/>
          <w14:ligatures w14:val="none"/>
        </w:rPr>
      </w:pPr>
      <w:r w:rsidRPr="004F1F5F">
        <w:rPr>
          <w:rFonts w:ascii="Helvetica Neue" w:eastAsia="Times New Roman" w:hAnsi="Helvetica Neue" w:cs="Times New Roman"/>
          <w:color w:val="0A0A0A"/>
          <w:kern w:val="0"/>
          <w:sz w:val="30"/>
          <w:szCs w:val="30"/>
          <w14:ligatures w14:val="none"/>
        </w:rPr>
        <w:t> </w:t>
      </w:r>
    </w:p>
    <w:p w14:paraId="36C46CA9" w14:textId="77777777" w:rsidR="004F1F5F" w:rsidRDefault="004F1F5F"/>
    <w:sectPr w:rsidR="004F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6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721137">
    <w:abstractNumId w:val="0"/>
  </w:num>
  <w:num w:numId="2" w16cid:durableId="1615818421">
    <w:abstractNumId w:val="0"/>
    <w:lvlOverride w:ilvl="0"/>
  </w:num>
  <w:num w:numId="3" w16cid:durableId="1922835411">
    <w:abstractNumId w:val="0"/>
    <w:lvlOverride w:ilvl="0"/>
  </w:num>
  <w:num w:numId="4" w16cid:durableId="16351456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5F"/>
    <w:rsid w:val="004F1F5F"/>
    <w:rsid w:val="00C07E90"/>
    <w:rsid w:val="00CE35AF"/>
    <w:rsid w:val="00EF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3690AE"/>
  <w15:chartTrackingRefBased/>
  <w15:docId w15:val="{EC0052D7-4132-424C-BD26-B54A84A4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F5F"/>
    <w:rPr>
      <w:rFonts w:eastAsiaTheme="majorEastAsia" w:cstheme="majorBidi"/>
      <w:color w:val="272727" w:themeColor="text1" w:themeTint="D8"/>
    </w:rPr>
  </w:style>
  <w:style w:type="paragraph" w:styleId="Title">
    <w:name w:val="Title"/>
    <w:basedOn w:val="Normal"/>
    <w:next w:val="Normal"/>
    <w:link w:val="TitleChar"/>
    <w:uiPriority w:val="10"/>
    <w:qFormat/>
    <w:rsid w:val="004F1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F5F"/>
    <w:pPr>
      <w:spacing w:before="160"/>
      <w:jc w:val="center"/>
    </w:pPr>
    <w:rPr>
      <w:i/>
      <w:iCs/>
      <w:color w:val="404040" w:themeColor="text1" w:themeTint="BF"/>
    </w:rPr>
  </w:style>
  <w:style w:type="character" w:customStyle="1" w:styleId="QuoteChar">
    <w:name w:val="Quote Char"/>
    <w:basedOn w:val="DefaultParagraphFont"/>
    <w:link w:val="Quote"/>
    <w:uiPriority w:val="29"/>
    <w:rsid w:val="004F1F5F"/>
    <w:rPr>
      <w:i/>
      <w:iCs/>
      <w:color w:val="404040" w:themeColor="text1" w:themeTint="BF"/>
    </w:rPr>
  </w:style>
  <w:style w:type="paragraph" w:styleId="ListParagraph">
    <w:name w:val="List Paragraph"/>
    <w:basedOn w:val="Normal"/>
    <w:uiPriority w:val="34"/>
    <w:qFormat/>
    <w:rsid w:val="004F1F5F"/>
    <w:pPr>
      <w:ind w:left="720"/>
      <w:contextualSpacing/>
    </w:pPr>
  </w:style>
  <w:style w:type="character" w:styleId="IntenseEmphasis">
    <w:name w:val="Intense Emphasis"/>
    <w:basedOn w:val="DefaultParagraphFont"/>
    <w:uiPriority w:val="21"/>
    <w:qFormat/>
    <w:rsid w:val="004F1F5F"/>
    <w:rPr>
      <w:i/>
      <w:iCs/>
      <w:color w:val="0F4761" w:themeColor="accent1" w:themeShade="BF"/>
    </w:rPr>
  </w:style>
  <w:style w:type="paragraph" w:styleId="IntenseQuote">
    <w:name w:val="Intense Quote"/>
    <w:basedOn w:val="Normal"/>
    <w:next w:val="Normal"/>
    <w:link w:val="IntenseQuoteChar"/>
    <w:uiPriority w:val="30"/>
    <w:qFormat/>
    <w:rsid w:val="004F1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F5F"/>
    <w:rPr>
      <w:i/>
      <w:iCs/>
      <w:color w:val="0F4761" w:themeColor="accent1" w:themeShade="BF"/>
    </w:rPr>
  </w:style>
  <w:style w:type="character" w:styleId="IntenseReference">
    <w:name w:val="Intense Reference"/>
    <w:basedOn w:val="DefaultParagraphFont"/>
    <w:uiPriority w:val="32"/>
    <w:qFormat/>
    <w:rsid w:val="004F1F5F"/>
    <w:rPr>
      <w:b/>
      <w:bCs/>
      <w:smallCaps/>
      <w:color w:val="0F4761" w:themeColor="accent1" w:themeShade="BF"/>
      <w:spacing w:val="5"/>
    </w:rPr>
  </w:style>
  <w:style w:type="character" w:customStyle="1" w:styleId="apple-converted-space">
    <w:name w:val="apple-converted-space"/>
    <w:basedOn w:val="DefaultParagraphFont"/>
    <w:rsid w:val="004F1F5F"/>
  </w:style>
  <w:style w:type="character" w:styleId="Hyperlink">
    <w:name w:val="Hyperlink"/>
    <w:basedOn w:val="DefaultParagraphFont"/>
    <w:uiPriority w:val="99"/>
    <w:semiHidden/>
    <w:unhideWhenUsed/>
    <w:rsid w:val="004F1F5F"/>
    <w:rPr>
      <w:color w:val="0000FF"/>
      <w:u w:val="single"/>
    </w:rPr>
  </w:style>
  <w:style w:type="character" w:customStyle="1" w:styleId="uv3um">
    <w:name w:val="uv3um"/>
    <w:basedOn w:val="DefaultParagraphFont"/>
    <w:rsid w:val="004F1F5F"/>
  </w:style>
  <w:style w:type="character" w:styleId="Strong">
    <w:name w:val="Strong"/>
    <w:basedOn w:val="DefaultParagraphFont"/>
    <w:uiPriority w:val="22"/>
    <w:qFormat/>
    <w:rsid w:val="004F1F5F"/>
    <w:rPr>
      <w:b/>
      <w:bCs/>
    </w:rPr>
  </w:style>
  <w:style w:type="paragraph" w:styleId="NormalWeb">
    <w:name w:val="Normal (Web)"/>
    <w:basedOn w:val="Normal"/>
    <w:uiPriority w:val="99"/>
    <w:semiHidden/>
    <w:unhideWhenUsed/>
    <w:rsid w:val="00CE35A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safari&amp;sca_esv=5aa1be070f16992e&amp;hl=en-gb&amp;sxsrf=AE3TifOsqVhFechhc8-tkyqk5H4tXUD8Og%3A1764154357738&amp;q=UK%27s+Local+Government+Act+1972&amp;sa=X&amp;ved=2ahUKEwiytcmO04-RAxUlVkEAHU7JHqsQxccNegQILBAB&amp;mstk=AUtExfBOC1Pj6fX8jbxU6YgYb8ULW1ZfC7e2ksNc59VO1gzKoiSMR5phVg4WfSSavVHH094mZhEW1Yc_HDWK6iZmd5g_9C-qeEmPvPUC0KpldbLAf_IxCQYlnnR6oH6KtEqoDo_x5Iu4p-iua2Po5C5LM7IMPRN8kUoue9Yc6iruFgF8kkGvFypVVWEozjhTdCm7pT-socWlxLtSyMiiJXGgGlz6zWTmvt0H7t7hN_VhX-8s5LmIEt0LKQBNe9fMv47XuOtpUn1FALYc_2Tuh4bJFVrL&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Graham Croucher</cp:lastModifiedBy>
  <cp:revision>2</cp:revision>
  <dcterms:created xsi:type="dcterms:W3CDTF">2025-11-26T11:08:00Z</dcterms:created>
  <dcterms:modified xsi:type="dcterms:W3CDTF">2025-11-26T11:08:00Z</dcterms:modified>
</cp:coreProperties>
</file>